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CB" w:rsidRPr="004B0FCB" w:rsidRDefault="004B0FCB" w:rsidP="004B0FCB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 w:rsidRPr="004B0FCB">
        <w:rPr>
          <w:rFonts w:ascii="Sylfaen" w:hAnsi="Sylfaen"/>
          <w:b/>
          <w:sz w:val="22"/>
          <w:szCs w:val="22"/>
          <w:lang w:val="ka-GE"/>
        </w:rPr>
        <w:t>ინფორმაცია ზოგიერთი ფარმაცევტული პროდუქტის 2020 წლის ,,შიდა კვოტასთან“ დაკავშირებით</w:t>
      </w:r>
    </w:p>
    <w:p w:rsidR="004B0FCB" w:rsidRDefault="004B0FCB" w:rsidP="008853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885300" w:rsidRPr="00450FD8" w:rsidRDefault="00885300" w:rsidP="008853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sz w:val="22"/>
          <w:szCs w:val="22"/>
          <w:lang w:val="en-GB"/>
        </w:rPr>
      </w:pPr>
      <w:r w:rsidRPr="007632F3">
        <w:rPr>
          <w:rFonts w:ascii="Sylfaen" w:hAnsi="Sylfaen"/>
          <w:sz w:val="22"/>
          <w:szCs w:val="22"/>
          <w:lang w:val="ka-GE"/>
        </w:rPr>
        <w:t>სპეც</w:t>
      </w:r>
      <w:r w:rsidR="004B0FCB">
        <w:rPr>
          <w:rFonts w:ascii="Sylfaen" w:hAnsi="Sylfaen"/>
          <w:sz w:val="22"/>
          <w:szCs w:val="22"/>
          <w:lang w:val="ka-GE"/>
        </w:rPr>
        <w:t xml:space="preserve">იალურ </w:t>
      </w:r>
      <w:r w:rsidRPr="007632F3">
        <w:rPr>
          <w:rFonts w:ascii="Sylfaen" w:hAnsi="Sylfaen"/>
          <w:sz w:val="22"/>
          <w:szCs w:val="22"/>
          <w:lang w:val="ka-GE"/>
        </w:rPr>
        <w:t>კონტროლს დაქვემდებარებულ ან მასთან გათანაბრებულ იმ ნივთიერებებზე, რო</w:t>
      </w:r>
      <w:r w:rsidR="004B0FCB">
        <w:rPr>
          <w:rFonts w:ascii="Sylfaen" w:hAnsi="Sylfaen"/>
          <w:sz w:val="22"/>
          <w:szCs w:val="22"/>
          <w:lang w:val="ka-GE"/>
        </w:rPr>
        <w:t>მ</w:t>
      </w:r>
      <w:r w:rsidRPr="007632F3">
        <w:rPr>
          <w:rFonts w:ascii="Sylfaen" w:hAnsi="Sylfaen"/>
          <w:sz w:val="22"/>
          <w:szCs w:val="22"/>
          <w:lang w:val="ka-GE"/>
        </w:rPr>
        <w:t>ლებიც საერთაშორისო კვოტის განსაზღვრას არ ექვემდებარებიან, „შიდა კვოტის“ ერთობლივად განსაზღვრის უფლებამოსილება</w:t>
      </w:r>
      <w:r w:rsidRPr="007632F3">
        <w:rPr>
          <w:rFonts w:ascii="Sylfaen" w:hAnsi="Sylfaen"/>
          <w:sz w:val="22"/>
          <w:szCs w:val="22"/>
        </w:rPr>
        <w:t xml:space="preserve">, </w:t>
      </w:r>
      <w:r w:rsidRPr="007632F3">
        <w:rPr>
          <w:rFonts w:ascii="Sylfaen" w:hAnsi="Sylfaen"/>
          <w:sz w:val="22"/>
          <w:szCs w:val="22"/>
          <w:lang w:val="ka-GE"/>
        </w:rPr>
        <w:t xml:space="preserve">მოქმედი კანონმდებლობით, მინიჭებული აქვთ </w:t>
      </w:r>
      <w:r w:rsidRPr="007632F3">
        <w:rPr>
          <w:rFonts w:ascii="Sylfaen" w:eastAsia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მინისტრსა და საქართველოს შინაგან საქმეთა მინისტრს. </w:t>
      </w:r>
    </w:p>
    <w:p w:rsidR="00885300" w:rsidRPr="007632F3" w:rsidRDefault="00885300" w:rsidP="008853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885300" w:rsidRPr="007632F3" w:rsidRDefault="00885300" w:rsidP="008853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  <w:lang w:val="ka-GE"/>
        </w:rPr>
      </w:pPr>
      <w:r w:rsidRPr="007632F3">
        <w:rPr>
          <w:rFonts w:ascii="Sylfaen" w:eastAsia="Sylfaen" w:hAnsi="Sylfaen"/>
          <w:sz w:val="22"/>
          <w:szCs w:val="22"/>
          <w:lang w:val="ka-GE"/>
        </w:rPr>
        <w:t xml:space="preserve">ზემოაღნიშნულის გათვალისწინებით, 2016 წელს შეიქმნა ორი მინისტრის სათათბირო ორგანო - საბჭო, რომელმაც საკუთარი უფლებამოსილებიდან და ე.წ. </w:t>
      </w:r>
      <w:r w:rsidRPr="007632F3">
        <w:rPr>
          <w:rFonts w:ascii="Sylfaen" w:hAnsi="Sylfaen"/>
          <w:sz w:val="22"/>
          <w:szCs w:val="22"/>
          <w:lang w:val="ka-GE"/>
        </w:rPr>
        <w:t>„</w:t>
      </w:r>
      <w:r w:rsidRPr="007632F3">
        <w:rPr>
          <w:rFonts w:ascii="Sylfaen" w:hAnsi="Sylfaen" w:cs="Sylfaen"/>
          <w:sz w:val="22"/>
          <w:szCs w:val="22"/>
          <w:lang w:val="ka-GE"/>
        </w:rPr>
        <w:t>სააფთიაქო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ნარკომანიის</w:t>
      </w:r>
      <w:r w:rsidRPr="007632F3">
        <w:rPr>
          <w:rFonts w:ascii="Sylfaen" w:hAnsi="Sylfaen"/>
          <w:sz w:val="22"/>
          <w:szCs w:val="22"/>
          <w:lang w:val="ka-GE"/>
        </w:rPr>
        <w:t xml:space="preserve">“ </w:t>
      </w:r>
      <w:r w:rsidRPr="007632F3">
        <w:rPr>
          <w:rFonts w:ascii="Sylfaen" w:hAnsi="Sylfaen" w:cs="Sylfaen"/>
          <w:sz w:val="22"/>
          <w:szCs w:val="22"/>
          <w:lang w:val="ka-GE"/>
        </w:rPr>
        <w:t>წინააღმდეგ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გასატარებელი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ღონისძიებების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აქტუალობიდან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2017 წელს პირველად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განიხილა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კვოტების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განსაზღვრის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საკითხი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6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ნივთიერებაზე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>,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კერძოდ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გაბაპენტინზე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ბაკლოფენზე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ზოპიკლონზე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ზალეპლონზე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ტროპიკამიდსა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დექსტრომეტორფანზე</w:t>
      </w:r>
      <w:r w:rsidRPr="007632F3">
        <w:rPr>
          <w:rFonts w:ascii="Sylfaen" w:hAnsi="Sylfaen"/>
          <w:sz w:val="22"/>
          <w:szCs w:val="22"/>
          <w:lang w:val="ka-GE"/>
        </w:rPr>
        <w:t>. აღსანიშნავია, რომ ეს იყო მნიშვნელოვანი წინგადადგმული ნაბიჯი ე.წ. „სააფთიაქო ნარკომანიის“ პრევენციის მიმართულებით.</w:t>
      </w:r>
    </w:p>
    <w:p w:rsidR="00885300" w:rsidRPr="007632F3" w:rsidRDefault="00885300" w:rsidP="0088530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</w:rPr>
      </w:pPr>
    </w:p>
    <w:p w:rsidR="00885300" w:rsidRPr="007632F3" w:rsidRDefault="00885300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  <w:r w:rsidRPr="007632F3">
        <w:rPr>
          <w:rFonts w:ascii="Sylfaen" w:hAnsi="Sylfaen" w:cs="Sylfaen"/>
          <w:sz w:val="22"/>
          <w:szCs w:val="22"/>
          <w:lang w:val="ka-GE"/>
        </w:rPr>
        <w:t>ნივთიერებაზე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წლიური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კვოტის</w:t>
      </w:r>
      <w:r w:rsidRPr="007632F3">
        <w:rPr>
          <w:rFonts w:ascii="Sylfaen" w:hAnsi="Sylfaen"/>
          <w:sz w:val="22"/>
          <w:szCs w:val="22"/>
          <w:lang w:val="ka-GE"/>
        </w:rPr>
        <w:t xml:space="preserve"> ოდენობების </w:t>
      </w:r>
      <w:r w:rsidRPr="007632F3">
        <w:rPr>
          <w:rFonts w:ascii="Sylfaen" w:hAnsi="Sylfaen" w:cs="Sylfaen"/>
          <w:sz w:val="22"/>
          <w:szCs w:val="22"/>
          <w:lang w:val="ka-GE"/>
        </w:rPr>
        <w:t>დადგენისას, თავდაპირველად, (2017 წელი)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გამოყენებული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იქნა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სხვადასხვა მეთოდოლოგია</w:t>
      </w:r>
      <w:r w:rsidRPr="007632F3">
        <w:rPr>
          <w:rFonts w:ascii="Sylfaen" w:hAnsi="Sylfaen"/>
          <w:sz w:val="22"/>
          <w:szCs w:val="22"/>
          <w:lang w:val="ka-GE"/>
        </w:rPr>
        <w:t xml:space="preserve">: </w:t>
      </w:r>
      <w:r w:rsidRPr="007632F3">
        <w:rPr>
          <w:rFonts w:ascii="Sylfaen" w:hAnsi="Sylfaen" w:cs="Sylfaen"/>
          <w:sz w:val="22"/>
          <w:szCs w:val="22"/>
          <w:lang w:val="ka-GE"/>
        </w:rPr>
        <w:t>ეპიდემიოლოგიური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მ</w:t>
      </w:r>
      <w:r w:rsidRPr="007632F3">
        <w:rPr>
          <w:rFonts w:ascii="Sylfaen" w:hAnsi="Sylfaen"/>
          <w:sz w:val="22"/>
          <w:szCs w:val="22"/>
          <w:lang w:val="ka-GE"/>
        </w:rPr>
        <w:t>.</w:t>
      </w:r>
      <w:r w:rsidRPr="007632F3">
        <w:rPr>
          <w:rFonts w:ascii="Sylfaen" w:hAnsi="Sylfaen" w:cs="Sylfaen"/>
          <w:sz w:val="22"/>
          <w:szCs w:val="22"/>
          <w:lang w:val="ka-GE"/>
        </w:rPr>
        <w:t>შ</w:t>
      </w:r>
      <w:r w:rsidRPr="007632F3">
        <w:rPr>
          <w:rFonts w:ascii="Sylfaen" w:hAnsi="Sylfaen"/>
          <w:sz w:val="22"/>
          <w:szCs w:val="22"/>
          <w:lang w:val="ka-GE"/>
        </w:rPr>
        <w:t xml:space="preserve">. აღნიშნული ფარმაცევტული პროდუქტის </w:t>
      </w:r>
      <w:r w:rsidRPr="007632F3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წლიური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ხარჯვის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პრეპარატების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იმპორტის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ურეცეპტოდ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ოდენობების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სტატისტიკა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დინამიკა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ბოლო</w:t>
      </w:r>
      <w:r w:rsidRPr="007632F3">
        <w:rPr>
          <w:rFonts w:ascii="Sylfaen" w:hAnsi="Sylfaen"/>
          <w:sz w:val="22"/>
          <w:szCs w:val="22"/>
          <w:lang w:val="ka-GE"/>
        </w:rPr>
        <w:t xml:space="preserve"> რამდენიმე </w:t>
      </w:r>
      <w:r w:rsidRPr="007632F3">
        <w:rPr>
          <w:rFonts w:ascii="Sylfaen" w:hAnsi="Sylfaen" w:cs="Sylfaen"/>
          <w:sz w:val="22"/>
          <w:szCs w:val="22"/>
          <w:lang w:val="ka-GE"/>
        </w:rPr>
        <w:t>წლის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7632F3">
        <w:rPr>
          <w:rFonts w:ascii="Sylfaen" w:hAnsi="Sylfaen"/>
          <w:sz w:val="22"/>
          <w:szCs w:val="22"/>
          <w:lang w:val="ka-GE"/>
        </w:rPr>
        <w:t>, ასევე, დარგობრივი ექსპერტების მოსაზრებები, რომელიც, ასევე, მოწონებული იქნა საბჭოს მიერ.</w:t>
      </w:r>
      <w:r w:rsidRPr="007632F3" w:rsidDel="00AC2028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</w:t>
      </w:r>
    </w:p>
    <w:p w:rsidR="00885300" w:rsidRPr="007632F3" w:rsidRDefault="00885300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885300" w:rsidRPr="007632F3" w:rsidRDefault="00885300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  <w:bdr w:val="none" w:sz="0" w:space="0" w:color="auto" w:frame="1"/>
          <w:lang w:val="ka-GE"/>
        </w:rPr>
      </w:pPr>
      <w:r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2018 წელს კვოტა გამოცხადდა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იგივე 6 დასახელების ფარმაცევტულ პროდუქტზე: </w:t>
      </w:r>
      <w:r w:rsidRPr="007632F3">
        <w:rPr>
          <w:rFonts w:ascii="Sylfaen" w:hAnsi="Sylfaen" w:cs="Sylfaen"/>
          <w:sz w:val="22"/>
          <w:szCs w:val="22"/>
          <w:lang w:val="ka-GE"/>
        </w:rPr>
        <w:t>გაბაპენტინზე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ბაკლოფენზე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ზოპიკლონზე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ზალეპლონზე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ტროპიკამიდსა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დექსტრომეტორფანზე</w:t>
      </w:r>
      <w:r w:rsidR="004B0FCB">
        <w:rPr>
          <w:rFonts w:ascii="Sylfaen" w:hAnsi="Sylfaen"/>
          <w:sz w:val="22"/>
          <w:szCs w:val="22"/>
          <w:lang w:val="ka-GE"/>
        </w:rPr>
        <w:t xml:space="preserve">.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კვოტის გაანგარიშებისას გამოყენებული იქნა შემდეგი პრინციპი: </w:t>
      </w:r>
      <w:r w:rsidRPr="007632F3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2017 წლის კვოტას გამოაკლდა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2017 წელს 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რეგულირების სააგენტოს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ინსპექტირების შედეგად ჩამორთმეული და ურეცეპტოდ გაცემული </w:t>
      </w:r>
      <w:r w:rsidRPr="007632F3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ოდენობების ნახევარი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(ვინაიდან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, სამწუხაროდ,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ურეცეპტოდ ფარმაცევტული პროდუქტი გაიცემა არა მხოლოდ ავადმოხმარების, არამედ პაციენტების რეალური საჭიროებების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მიზნით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). </w:t>
      </w:r>
    </w:p>
    <w:p w:rsidR="00885300" w:rsidRPr="007632F3" w:rsidRDefault="00885300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885300" w:rsidRDefault="00885300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2019 წლის </w:t>
      </w:r>
      <w:r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ქვეყნის ,,შიდა კვოტ</w:t>
      </w: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ების</w:t>
      </w:r>
      <w:r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“</w:t>
      </w: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</w:t>
      </w:r>
      <w:r w:rsidR="004B0FCB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არ დადგენილა.</w:t>
      </w:r>
    </w:p>
    <w:p w:rsidR="004B0FCB" w:rsidRDefault="004B0FCB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885300" w:rsidRDefault="00885300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2020 წლისთვის</w:t>
      </w:r>
      <w:r w:rsidR="004B0FCB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,</w:t>
      </w: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კვო</w:t>
      </w:r>
      <w:r w:rsidR="004B0FCB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ტის გაანგარიშების პრინციპი დარჩება</w:t>
      </w: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იგივე, კერძოდ, 6 დასახელების ნივთიერებაზე, 2018 წლის კვოტას გამოაკლდება 2018 წელს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ინსპექტირების შედეგად ჩამორთმეული და ურეცეპტოდ გაცემული </w:t>
      </w:r>
      <w:r w:rsidRPr="007632F3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ოდენობების ნახევარი</w:t>
      </w:r>
      <w:r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 xml:space="preserve">, </w:t>
      </w:r>
      <w:r w:rsidR="004B0FCB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(</w:t>
      </w:r>
      <w:r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თუმცა კვოტის გამოსაცხად</w:t>
      </w:r>
      <w:r w:rsidR="004B0FCB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ებელ რაო</w:t>
      </w:r>
      <w:r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დენობაში  გასათვალისწინებელია ნივთიერება-ზალეპლონის რაოდენობა, რომელიც 2019 წლის მე-4 კვარტალში, სასამართლოს გადაწყვეტილების საფუძველზე უკან დაუბრუნდა რეალიზატორს და დღეის მდგომარეობ</w:t>
      </w:r>
      <w:r w:rsidR="004B0FCB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ით, მოქცეულია კანონიერ ბრუნვაში, ამასთან,  საყურადღებოა ისიც, რომ ზალეპლონის ვარგისობის ვადა შეზღუდულია 06.2020წ-მდე).</w:t>
      </w:r>
    </w:p>
    <w:p w:rsidR="004B0FCB" w:rsidRPr="00885300" w:rsidRDefault="004B0FCB" w:rsidP="008853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2C08A7" w:rsidRDefault="002C08A7" w:rsidP="002C08A7">
      <w:pPr>
        <w:pStyle w:val="NormalWeb"/>
        <w:shd w:val="clear" w:color="auto" w:fill="FFFFFF"/>
        <w:spacing w:before="0" w:before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 xml:space="preserve">რეგულირების სააგენტო </w:t>
      </w:r>
      <w:r w:rsidR="00885300" w:rsidRPr="00404538">
        <w:rPr>
          <w:rFonts w:ascii="Sylfaen" w:hAnsi="Sylfaen" w:cs="Sylfaen"/>
          <w:sz w:val="22"/>
          <w:szCs w:val="22"/>
          <w:lang w:val="ka-GE"/>
        </w:rPr>
        <w:t xml:space="preserve">მიზანშეწონილად </w:t>
      </w:r>
      <w:r>
        <w:rPr>
          <w:rFonts w:ascii="Sylfaen" w:hAnsi="Sylfaen" w:cs="Sylfaen"/>
          <w:sz w:val="22"/>
          <w:szCs w:val="22"/>
          <w:lang w:val="ka-GE"/>
        </w:rPr>
        <w:t xml:space="preserve">მიიჩნევს, საბჭოს წევრების თანხმობის შემთხვევაში, </w:t>
      </w:r>
      <w:r w:rsidR="00885300" w:rsidRPr="00404538">
        <w:rPr>
          <w:rFonts w:ascii="Sylfaen" w:hAnsi="Sylfaen" w:cs="Sylfaen"/>
          <w:sz w:val="22"/>
          <w:szCs w:val="22"/>
          <w:lang w:val="ka-GE"/>
        </w:rPr>
        <w:t xml:space="preserve"> კვოტა განისაზღვროს </w:t>
      </w:r>
      <w:r>
        <w:rPr>
          <w:rFonts w:ascii="Sylfaen" w:hAnsi="Sylfaen" w:cs="Sylfaen"/>
          <w:sz w:val="22"/>
          <w:szCs w:val="22"/>
          <w:lang w:val="ka-GE"/>
        </w:rPr>
        <w:t xml:space="preserve">კიდევ </w:t>
      </w:r>
      <w:r w:rsidR="0088530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ორ ახალ ნივთიერებაზე - ციკლოდოლსა და გაბაპენტინზე, </w:t>
      </w:r>
      <w:r w:rsidR="0088530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შემდეგი გარემოებების გათვალისწინებით:</w:t>
      </w:r>
    </w:p>
    <w:p w:rsidR="00885300" w:rsidRDefault="002C08A7" w:rsidP="002C08A7">
      <w:pPr>
        <w:pStyle w:val="NormalWeb"/>
        <w:shd w:val="clear" w:color="auto" w:fill="FFFFFF"/>
        <w:spacing w:before="0" w:before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</w:t>
      </w:r>
      <w:r w:rsidR="0088530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85300" w:rsidRPr="00404538">
        <w:rPr>
          <w:rFonts w:ascii="Sylfaen" w:hAnsi="Sylfaen"/>
          <w:sz w:val="22"/>
          <w:szCs w:val="22"/>
          <w:lang w:val="ka-GE"/>
        </w:rPr>
        <w:t xml:space="preserve">იმპორტირებული </w:t>
      </w:r>
      <w:r w:rsidR="004B0FCB">
        <w:rPr>
          <w:rFonts w:ascii="Sylfaen" w:hAnsi="Sylfaen"/>
          <w:sz w:val="22"/>
          <w:szCs w:val="22"/>
          <w:lang w:val="ka-GE"/>
        </w:rPr>
        <w:t xml:space="preserve">ციკლოდოლის </w:t>
      </w:r>
      <w:r w:rsidR="00885300" w:rsidRPr="00404538">
        <w:rPr>
          <w:rFonts w:ascii="Sylfaen" w:hAnsi="Sylfaen"/>
          <w:sz w:val="22"/>
          <w:szCs w:val="22"/>
          <w:lang w:val="ka-GE"/>
        </w:rPr>
        <w:t>რეალიზაცია</w:t>
      </w:r>
      <w:r w:rsidR="004B0FCB">
        <w:rPr>
          <w:rFonts w:ascii="Sylfaen" w:hAnsi="Sylfaen"/>
          <w:sz w:val="22"/>
          <w:szCs w:val="22"/>
          <w:lang w:val="ka-GE"/>
        </w:rPr>
        <w:t>, ძირითადად,</w:t>
      </w:r>
      <w:r w:rsidR="00885300" w:rsidRPr="00404538">
        <w:rPr>
          <w:rFonts w:ascii="Sylfaen" w:hAnsi="Sylfaen"/>
          <w:sz w:val="22"/>
          <w:szCs w:val="22"/>
          <w:lang w:val="ka-GE"/>
        </w:rPr>
        <w:t xml:space="preserve"> ხდება საცალო რეალიზაციის არხებიდან, </w:t>
      </w:r>
      <w:r w:rsidR="004B0FCB">
        <w:rPr>
          <w:rFonts w:ascii="Sylfaen" w:hAnsi="Sylfaen"/>
          <w:sz w:val="22"/>
          <w:szCs w:val="22"/>
          <w:lang w:val="ka-GE"/>
        </w:rPr>
        <w:t>ფიქსირდება</w:t>
      </w:r>
      <w:r w:rsidR="00885300" w:rsidRPr="00404538">
        <w:rPr>
          <w:rFonts w:ascii="Sylfaen" w:hAnsi="Sylfaen"/>
          <w:sz w:val="22"/>
          <w:szCs w:val="22"/>
          <w:lang w:val="ka-GE"/>
        </w:rPr>
        <w:t xml:space="preserve"> იმპორტირებული მოცულობის </w:t>
      </w:r>
      <w:r w:rsidR="004B0FCB">
        <w:rPr>
          <w:rFonts w:ascii="Sylfaen" w:hAnsi="Sylfaen"/>
          <w:sz w:val="22"/>
          <w:szCs w:val="22"/>
          <w:lang w:val="ka-GE"/>
        </w:rPr>
        <w:t xml:space="preserve">მნიშვნელოვანი წილის </w:t>
      </w:r>
      <w:r w:rsidR="00885300" w:rsidRPr="00404538">
        <w:rPr>
          <w:rFonts w:ascii="Sylfaen" w:hAnsi="Sylfaen"/>
          <w:sz w:val="22"/>
          <w:szCs w:val="22"/>
          <w:lang w:val="ka-GE"/>
        </w:rPr>
        <w:t>უკ</w:t>
      </w:r>
      <w:r w:rsidR="004B0FCB">
        <w:rPr>
          <w:rFonts w:ascii="Sylfaen" w:hAnsi="Sylfaen"/>
          <w:sz w:val="22"/>
          <w:szCs w:val="22"/>
          <w:lang w:val="ka-GE"/>
        </w:rPr>
        <w:t xml:space="preserve">ანონო ბრუნვაში გადინების ფაქტი. </w:t>
      </w:r>
      <w:r w:rsidR="00885300" w:rsidRPr="00404538">
        <w:rPr>
          <w:rFonts w:ascii="Sylfaen" w:hAnsi="Sylfaen"/>
          <w:sz w:val="22"/>
          <w:szCs w:val="22"/>
          <w:lang w:val="ka-GE"/>
        </w:rPr>
        <w:t>შესაბამისად, ციკლოდოლზე ფიქსირებული კვოტის დაწესებამ, შესაძლოა,  დადებითი ეფექტი იქონიოს უკანონო ბრუნვაში მისი გადინების მაჩვენებელზე.</w:t>
      </w:r>
    </w:p>
    <w:p w:rsidR="002C08A7" w:rsidRDefault="002C08A7" w:rsidP="002C08A7">
      <w:pPr>
        <w:pStyle w:val="NormalWeb"/>
        <w:shd w:val="clear" w:color="auto" w:fill="FFFFFF"/>
        <w:spacing w:before="0" w:before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ბ) პრეგაბალინის იმპორტზე მოთხოვნის მნიშვნელოვანი ზრდა, ქმნის მისი არამიზნობრივი გამოყენების სერიოზულ ეჭვს. იმპორტზე წინასწარი შეთანხმების დოკუმენტების და ნებართვის გაცემაზე უარის თქმისთვის არ არსებობს სამართლებრივი საფუძვლები. </w:t>
      </w:r>
      <w:r w:rsidRPr="00404538">
        <w:rPr>
          <w:rFonts w:ascii="Sylfaen" w:hAnsi="Sylfaen"/>
          <w:sz w:val="22"/>
          <w:szCs w:val="22"/>
          <w:lang w:val="ka-GE"/>
        </w:rPr>
        <w:t xml:space="preserve">კვოტის დაწესება, </w:t>
      </w:r>
      <w:r>
        <w:rPr>
          <w:rFonts w:ascii="Sylfaen" w:hAnsi="Sylfaen"/>
          <w:sz w:val="22"/>
          <w:szCs w:val="22"/>
          <w:lang w:val="ka-GE"/>
        </w:rPr>
        <w:t>ვფიქრობთ,</w:t>
      </w:r>
      <w:r w:rsidRPr="00404538"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/>
          <w:sz w:val="22"/>
          <w:szCs w:val="22"/>
          <w:lang w:val="ka-GE"/>
        </w:rPr>
        <w:t xml:space="preserve">უზრუნველყოფს </w:t>
      </w:r>
      <w:r w:rsidRPr="0040453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იმპორტირებული რაოდენობის მაჩვენებლის დაახლოებას მიზნობრივი პაციენტებისთვის საჭირო ოდენობასთან.</w:t>
      </w:r>
    </w:p>
    <w:p w:rsidR="002C08A7" w:rsidRDefault="002C08A7" w:rsidP="002C08A7">
      <w:pPr>
        <w:pStyle w:val="NormalWeb"/>
        <w:shd w:val="clear" w:color="auto" w:fill="FFFFFF"/>
        <w:spacing w:before="0" w:beforeAutospacing="0"/>
        <w:jc w:val="both"/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ციკლოდოლისა და პრეგაბალინის კვოტის განსაზღვრისთვის გამოყენებული იქნა 5 წლის  (2014 – 2018 წ) საშუალო ხარჯვის მონაცემები, რომელსაც გამოაკლდება 2018 წ. </w:t>
      </w:r>
      <w:r w:rsidR="004B0FCB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ინსპექტირების შედეგად ჩამორთმეული და ურეცეპტოდ გაცემული </w:t>
      </w:r>
      <w:r w:rsidR="004B0FCB" w:rsidRPr="007632F3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ოდენობების ნახევარი</w:t>
      </w:r>
      <w:r w:rsidR="004B0FCB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 xml:space="preserve">. </w:t>
      </w:r>
    </w:p>
    <w:p w:rsidR="002C08A7" w:rsidRDefault="002C08A7" w:rsidP="00885300">
      <w:pPr>
        <w:spacing w:after="0"/>
        <w:jc w:val="center"/>
        <w:rPr>
          <w:rFonts w:ascii="Sylfaen" w:hAnsi="Sylfaen"/>
          <w:b/>
          <w:bdr w:val="none" w:sz="0" w:space="0" w:color="auto" w:frame="1"/>
          <w:lang w:val="ka-GE"/>
        </w:rPr>
      </w:pPr>
    </w:p>
    <w:p w:rsidR="002C08A7" w:rsidRDefault="002C08A7" w:rsidP="00885300">
      <w:pPr>
        <w:spacing w:after="0"/>
        <w:jc w:val="center"/>
        <w:rPr>
          <w:rFonts w:ascii="Sylfaen" w:hAnsi="Sylfaen"/>
          <w:b/>
          <w:bdr w:val="none" w:sz="0" w:space="0" w:color="auto" w:frame="1"/>
          <w:lang w:val="ka-GE"/>
        </w:rPr>
      </w:pPr>
      <w:bookmarkStart w:id="0" w:name="_GoBack"/>
      <w:bookmarkEnd w:id="0"/>
    </w:p>
    <w:sectPr w:rsidR="002C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E4C98"/>
    <w:multiLevelType w:val="hybridMultilevel"/>
    <w:tmpl w:val="3D24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00"/>
    <w:rsid w:val="002C08A7"/>
    <w:rsid w:val="004B0FCB"/>
    <w:rsid w:val="00660AAF"/>
    <w:rsid w:val="00712D77"/>
    <w:rsid w:val="007D4AA5"/>
    <w:rsid w:val="008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uiPriority w:val="99"/>
    <w:rsid w:val="00885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uiPriority w:val="99"/>
    <w:rsid w:val="00885300"/>
    <w:rPr>
      <w:rFonts w:ascii="Arial" w:eastAsiaTheme="minorEastAsia" w:hAnsi="Arial" w:cs="Arial"/>
      <w:sz w:val="24"/>
      <w:szCs w:val="24"/>
    </w:rPr>
  </w:style>
  <w:style w:type="paragraph" w:customStyle="1" w:styleId="yiv7228435433msonormal">
    <w:name w:val="yiv7228435433msonormal"/>
    <w:basedOn w:val="Normal"/>
    <w:rsid w:val="0088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uiPriority w:val="99"/>
    <w:rsid w:val="00885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uiPriority w:val="99"/>
    <w:rsid w:val="00885300"/>
    <w:rPr>
      <w:rFonts w:ascii="Arial" w:eastAsiaTheme="minorEastAsia" w:hAnsi="Arial" w:cs="Arial"/>
      <w:sz w:val="24"/>
      <w:szCs w:val="24"/>
    </w:rPr>
  </w:style>
  <w:style w:type="paragraph" w:customStyle="1" w:styleId="yiv7228435433msonormal">
    <w:name w:val="yiv7228435433msonormal"/>
    <w:basedOn w:val="Normal"/>
    <w:rsid w:val="0088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Nana Shashiashvili</cp:lastModifiedBy>
  <cp:revision>2</cp:revision>
  <dcterms:created xsi:type="dcterms:W3CDTF">2019-12-30T09:15:00Z</dcterms:created>
  <dcterms:modified xsi:type="dcterms:W3CDTF">2019-12-30T12:35:00Z</dcterms:modified>
</cp:coreProperties>
</file>